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A6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182">
        <w:rPr>
          <w:rFonts w:ascii="Times New Roman" w:hAnsi="Times New Roman" w:cs="Times New Roman"/>
          <w:sz w:val="24"/>
          <w:szCs w:val="24"/>
        </w:rPr>
        <w:t>KURUMLAR VERGİSİ (DEĞİŞİKLİK) YASA</w:t>
      </w:r>
      <w:r w:rsidR="00154A5B">
        <w:rPr>
          <w:rFonts w:ascii="Times New Roman" w:hAnsi="Times New Roman" w:cs="Times New Roman"/>
          <w:sz w:val="24"/>
          <w:szCs w:val="24"/>
        </w:rPr>
        <w:t>SI</w:t>
      </w:r>
      <w:r w:rsidRPr="00CC3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A0B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0B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36"/>
        <w:gridCol w:w="709"/>
        <w:gridCol w:w="567"/>
        <w:gridCol w:w="6410"/>
      </w:tblGrid>
      <w:tr w:rsidR="00B5539F" w:rsidRPr="00CC3182" w:rsidTr="00B5539F">
        <w:tc>
          <w:tcPr>
            <w:tcW w:w="1668" w:type="dxa"/>
          </w:tcPr>
          <w:p w:rsidR="00B5539F" w:rsidRPr="00CC3182" w:rsidRDefault="00B5539F" w:rsidP="009A5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  <w:gridSpan w:val="4"/>
          </w:tcPr>
          <w:p w:rsidR="00B5539F" w:rsidRPr="00CC3182" w:rsidRDefault="00B5539F" w:rsidP="00D2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ab/>
              <w:t>Kuzey Kıbrıs Türk Cumhuriyeti Cumhuriyet Meclisi aşağıdaki Yasayı yapar:</w:t>
            </w:r>
          </w:p>
          <w:p w:rsidR="00B5539F" w:rsidRPr="00CC3182" w:rsidRDefault="00B5539F" w:rsidP="00D2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F" w:rsidRPr="00CC3182" w:rsidTr="00B5539F">
        <w:tc>
          <w:tcPr>
            <w:tcW w:w="1668" w:type="dxa"/>
          </w:tcPr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41/1976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24/1977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62/1977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11/1980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35/1983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36/1987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70/1993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38/2003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10/2004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16/2007</w:t>
            </w:r>
          </w:p>
          <w:p w:rsidR="00B5539F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18/2013</w:t>
            </w:r>
          </w:p>
          <w:p w:rsidR="006E0FE5" w:rsidRPr="00CC3182" w:rsidRDefault="00B5539F" w:rsidP="00B5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    37/2014</w:t>
            </w:r>
          </w:p>
        </w:tc>
        <w:tc>
          <w:tcPr>
            <w:tcW w:w="7922" w:type="dxa"/>
            <w:gridSpan w:val="4"/>
          </w:tcPr>
          <w:p w:rsidR="00B5539F" w:rsidRPr="00CC3182" w:rsidRDefault="00B5539F" w:rsidP="00D22812">
            <w:pPr>
              <w:pStyle w:val="Title"/>
              <w:jc w:val="both"/>
              <w:rPr>
                <w:sz w:val="24"/>
              </w:rPr>
            </w:pPr>
            <w:r w:rsidRPr="00CC3182">
              <w:rPr>
                <w:sz w:val="24"/>
              </w:rPr>
              <w:t>1. Bu Yasa, Kurumlar Vergisi (Değişiklik) Yasası olarak isimlendirilir ve aşağıda “Esas Yasa” olarak anılan Kurumlar Vergisi Yasası ile birlikte okunur.</w:t>
            </w:r>
          </w:p>
          <w:p w:rsidR="00B5539F" w:rsidRPr="00CC3182" w:rsidRDefault="00B5539F" w:rsidP="00D22812">
            <w:pPr>
              <w:jc w:val="both"/>
              <w:rPr>
                <w:sz w:val="24"/>
                <w:szCs w:val="24"/>
              </w:rPr>
            </w:pPr>
          </w:p>
        </w:tc>
      </w:tr>
      <w:tr w:rsidR="008478A0" w:rsidRPr="00CC3182" w:rsidTr="00B5539F">
        <w:tc>
          <w:tcPr>
            <w:tcW w:w="1668" w:type="dxa"/>
          </w:tcPr>
          <w:p w:rsidR="008478A0" w:rsidRPr="00CC3182" w:rsidRDefault="008478A0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2" w:type="dxa"/>
            <w:gridSpan w:val="4"/>
          </w:tcPr>
          <w:p w:rsidR="008478A0" w:rsidRPr="00CC3182" w:rsidRDefault="008478A0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A0" w:rsidRPr="00CC3182" w:rsidTr="00B5539F">
        <w:tc>
          <w:tcPr>
            <w:tcW w:w="1668" w:type="dxa"/>
          </w:tcPr>
          <w:p w:rsidR="008478A0" w:rsidRPr="00CC3182" w:rsidRDefault="00B5539F" w:rsidP="00B5539F">
            <w:pPr>
              <w:pStyle w:val="Title"/>
              <w:jc w:val="left"/>
              <w:rPr>
                <w:sz w:val="24"/>
              </w:rPr>
            </w:pPr>
            <w:r w:rsidRPr="00CC3182">
              <w:rPr>
                <w:sz w:val="24"/>
              </w:rPr>
              <w:t>Esas Yasanın 8’inci</w:t>
            </w:r>
          </w:p>
        </w:tc>
        <w:tc>
          <w:tcPr>
            <w:tcW w:w="7922" w:type="dxa"/>
            <w:gridSpan w:val="4"/>
          </w:tcPr>
          <w:p w:rsidR="008478A0" w:rsidRPr="00CC3182" w:rsidRDefault="008478A0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2. Esas Yasa, 8’inci maddesinin (6)’ncı fıkrasından hemen sonra aşağıdaki yeni (7)’nci fıkra eklenmek suretiyle değiştirilir:</w:t>
            </w:r>
          </w:p>
        </w:tc>
      </w:tr>
      <w:tr w:rsidR="00B5539F" w:rsidRPr="00CC3182" w:rsidTr="00B5539F">
        <w:tc>
          <w:tcPr>
            <w:tcW w:w="1668" w:type="dxa"/>
          </w:tcPr>
          <w:p w:rsidR="00B5539F" w:rsidRPr="00CC3182" w:rsidRDefault="00B5539F" w:rsidP="00B5539F">
            <w:pPr>
              <w:pStyle w:val="Title"/>
              <w:jc w:val="left"/>
              <w:rPr>
                <w:sz w:val="24"/>
              </w:rPr>
            </w:pPr>
            <w:r w:rsidRPr="00CC3182">
              <w:rPr>
                <w:sz w:val="24"/>
              </w:rPr>
              <w:t>Maddesinin</w:t>
            </w:r>
          </w:p>
        </w:tc>
        <w:tc>
          <w:tcPr>
            <w:tcW w:w="7922" w:type="dxa"/>
            <w:gridSpan w:val="4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39F" w:rsidRPr="00CC3182" w:rsidTr="00B5539F">
        <w:tc>
          <w:tcPr>
            <w:tcW w:w="1668" w:type="dxa"/>
          </w:tcPr>
          <w:p w:rsidR="00B5539F" w:rsidRPr="00CC3182" w:rsidRDefault="00B5539F" w:rsidP="00D2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  <w:p w:rsidR="00A96DD9" w:rsidRPr="00CC3182" w:rsidRDefault="00A96DD9" w:rsidP="00D2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42/2018</w:t>
            </w:r>
          </w:p>
        </w:tc>
        <w:tc>
          <w:tcPr>
            <w:tcW w:w="236" w:type="dxa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“(7)</w:t>
            </w:r>
          </w:p>
        </w:tc>
        <w:tc>
          <w:tcPr>
            <w:tcW w:w="567" w:type="dxa"/>
          </w:tcPr>
          <w:p w:rsidR="00B5539F" w:rsidRPr="00CC3182" w:rsidRDefault="00B5539F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410" w:type="dxa"/>
          </w:tcPr>
          <w:p w:rsidR="00B5539F" w:rsidRPr="00CC3182" w:rsidRDefault="000C11F5" w:rsidP="00143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Teknoloji Geliştirme Bölgeleri Yasası uyarınca kurulan bölge</w:t>
            </w:r>
            <w:r w:rsidR="00143DD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in yönetimi ve işletmesinden sorumlu yönetici şirket</w:t>
            </w:r>
            <w:r w:rsidR="00143DD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ile aynı Yasa kapsamında bölgelerde faaliyet gösteren kurumların</w:t>
            </w:r>
            <w:r w:rsidR="00061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0DD">
              <w:rPr>
                <w:rFonts w:ascii="Times New Roman" w:hAnsi="Times New Roman" w:cs="Times New Roman"/>
                <w:sz w:val="24"/>
                <w:szCs w:val="24"/>
              </w:rPr>
              <w:t xml:space="preserve"> bölgenin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faaliyete geçtiği tarihten başlayarak münhasıran bu bölgelerdeki yazılım, araştırma ve geliştirme faaliyetlerinden elde ettikleri kazançları</w:t>
            </w:r>
            <w:r w:rsidR="00BB4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2" w:rsidRPr="00CC3182">
              <w:rPr>
                <w:rFonts w:ascii="Times New Roman" w:hAnsi="Times New Roman" w:cs="Times New Roman"/>
                <w:sz w:val="24"/>
                <w:szCs w:val="24"/>
              </w:rPr>
              <w:t>otuz yıl süre ile sınırlı olmak koşuluyla</w:t>
            </w:r>
            <w:r w:rsidR="00BB4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72" w:rsidRPr="00CC3182">
              <w:rPr>
                <w:rFonts w:ascii="Times New Roman" w:hAnsi="Times New Roman" w:cs="Times New Roman"/>
                <w:sz w:val="24"/>
                <w:szCs w:val="24"/>
              </w:rPr>
              <w:t>bu Yasa kuralları uyarınca uygulanan ver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>giden istisna tutulur;</w:t>
            </w:r>
          </w:p>
        </w:tc>
      </w:tr>
      <w:tr w:rsidR="00527FFA" w:rsidRPr="00CC3182" w:rsidTr="00B5539F">
        <w:tc>
          <w:tcPr>
            <w:tcW w:w="1668" w:type="dxa"/>
          </w:tcPr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>27/1977</w:t>
            </w:r>
          </w:p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 xml:space="preserve">   13/1980</w:t>
            </w:r>
          </w:p>
          <w:p w:rsidR="00527FFA" w:rsidRPr="00CC3182" w:rsidRDefault="00527FFA" w:rsidP="00D2281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 xml:space="preserve">   24/2015</w:t>
            </w:r>
          </w:p>
          <w:p w:rsidR="00FA0AD0" w:rsidRPr="00CC3182" w:rsidRDefault="00527FFA" w:rsidP="00475C72">
            <w:pPr>
              <w:rPr>
                <w:rFonts w:ascii="Times New Roman" w:hAnsi="Times New Roman"/>
                <w:sz w:val="24"/>
                <w:szCs w:val="24"/>
              </w:rPr>
            </w:pPr>
            <w:r w:rsidRPr="00CC3182">
              <w:rPr>
                <w:rFonts w:ascii="Times New Roman" w:hAnsi="Times New Roman"/>
                <w:sz w:val="24"/>
                <w:szCs w:val="24"/>
              </w:rPr>
              <w:t xml:space="preserve">   50/2017</w:t>
            </w:r>
          </w:p>
        </w:tc>
        <w:tc>
          <w:tcPr>
            <w:tcW w:w="236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FFA" w:rsidRPr="00CC3182" w:rsidRDefault="00527FFA" w:rsidP="0047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10" w:type="dxa"/>
          </w:tcPr>
          <w:p w:rsidR="00527FFA" w:rsidRPr="00CC3182" w:rsidRDefault="00527FFA" w:rsidP="00061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Yukarıdaki </w:t>
            </w:r>
            <w:r w:rsidR="00BB4BD0">
              <w:rPr>
                <w:rFonts w:ascii="Times New Roman" w:hAnsi="Times New Roman" w:cs="Times New Roman"/>
                <w:sz w:val="24"/>
                <w:szCs w:val="24"/>
              </w:rPr>
              <w:t>(A) bendinde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öngörülen istisnadan yararlanabilmek için Vergi Usul Yasası kuralları uyarınca bilanço esasına göre hesap tutulması ve bölge</w:t>
            </w:r>
            <w:r w:rsidR="00143DD0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deki </w:t>
            </w:r>
            <w:r w:rsidR="00475C72">
              <w:rPr>
                <w:rFonts w:ascii="Times New Roman" w:hAnsi="Times New Roman" w:cs="Times New Roman"/>
                <w:sz w:val="24"/>
                <w:szCs w:val="24"/>
              </w:rPr>
              <w:t xml:space="preserve">gelirin diğer 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faaliyetlerden elde edilen gelirlerden ayrı olarak hesaplarda gösterilmesi koşuldur.</w:t>
            </w:r>
          </w:p>
        </w:tc>
      </w:tr>
      <w:tr w:rsidR="00527FFA" w:rsidRPr="00CC3182" w:rsidTr="00B5539F">
        <w:tc>
          <w:tcPr>
            <w:tcW w:w="1668" w:type="dxa"/>
          </w:tcPr>
          <w:p w:rsidR="00527FFA" w:rsidRDefault="00527FFA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221" w:rsidRPr="00CC3182" w:rsidRDefault="00767221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FFA" w:rsidRPr="00CC3182" w:rsidRDefault="00475C72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="00527FFA" w:rsidRPr="00CC31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10" w:type="dxa"/>
          </w:tcPr>
          <w:p w:rsidR="00527FFA" w:rsidRPr="00CC3182" w:rsidRDefault="00527FFA" w:rsidP="0042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Bu madde amaçları bakımından bölge ve yönetici şirket Teknoloji Geliştirme Bölgeleri Yasası</w:t>
            </w:r>
            <w:r w:rsidR="004201AC">
              <w:rPr>
                <w:rFonts w:ascii="Times New Roman" w:hAnsi="Times New Roman" w:cs="Times New Roman"/>
                <w:sz w:val="24"/>
                <w:szCs w:val="24"/>
              </w:rPr>
              <w:t>ndaki</w:t>
            </w: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 xml:space="preserve"> anlamı taşır.”</w:t>
            </w:r>
          </w:p>
        </w:tc>
      </w:tr>
      <w:tr w:rsidR="00527FFA" w:rsidRPr="00CC3182" w:rsidTr="00B5539F">
        <w:tc>
          <w:tcPr>
            <w:tcW w:w="1668" w:type="dxa"/>
          </w:tcPr>
          <w:p w:rsidR="00527FFA" w:rsidRPr="00CC3182" w:rsidRDefault="00527FFA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gridSpan w:val="2"/>
          </w:tcPr>
          <w:p w:rsidR="00527FFA" w:rsidRPr="00CC3182" w:rsidRDefault="00527FFA" w:rsidP="00847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FFA" w:rsidRPr="00CC3182" w:rsidTr="00613D9C">
        <w:tc>
          <w:tcPr>
            <w:tcW w:w="1668" w:type="dxa"/>
          </w:tcPr>
          <w:p w:rsidR="00527FFA" w:rsidRPr="00CC3182" w:rsidRDefault="00527FFA" w:rsidP="0084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82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922" w:type="dxa"/>
            <w:gridSpan w:val="4"/>
          </w:tcPr>
          <w:p w:rsidR="00527FFA" w:rsidRPr="00CC3182" w:rsidRDefault="00BD441F" w:rsidP="00E56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27FFA" w:rsidRPr="00CC3182">
              <w:rPr>
                <w:rFonts w:ascii="Times New Roman" w:hAnsi="Times New Roman" w:cs="Times New Roman"/>
                <w:sz w:val="24"/>
                <w:szCs w:val="24"/>
              </w:rPr>
              <w:t>Bu Yasa, Resmi Gazete’de yayımlandığı tarihi izleyen ayın başından başlayarak yürürlüğe girer.</w:t>
            </w:r>
          </w:p>
        </w:tc>
      </w:tr>
    </w:tbl>
    <w:p w:rsidR="009A5A0B" w:rsidRPr="00CC3182" w:rsidRDefault="009A5A0B" w:rsidP="009A5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5A0B" w:rsidRPr="00CC3182" w:rsidSect="00BE4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3D5E"/>
    <w:multiLevelType w:val="hybridMultilevel"/>
    <w:tmpl w:val="EF9A9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74A07"/>
    <w:multiLevelType w:val="hybridMultilevel"/>
    <w:tmpl w:val="E05E0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0B"/>
    <w:rsid w:val="00061982"/>
    <w:rsid w:val="000A3790"/>
    <w:rsid w:val="000C11F5"/>
    <w:rsid w:val="000F49B5"/>
    <w:rsid w:val="00120276"/>
    <w:rsid w:val="00143DD0"/>
    <w:rsid w:val="00154A5B"/>
    <w:rsid w:val="00256D12"/>
    <w:rsid w:val="00284158"/>
    <w:rsid w:val="003F286E"/>
    <w:rsid w:val="0040040A"/>
    <w:rsid w:val="004201AC"/>
    <w:rsid w:val="00475C72"/>
    <w:rsid w:val="0049696B"/>
    <w:rsid w:val="00527FFA"/>
    <w:rsid w:val="00570290"/>
    <w:rsid w:val="00597335"/>
    <w:rsid w:val="006669F1"/>
    <w:rsid w:val="006E0FE5"/>
    <w:rsid w:val="00767221"/>
    <w:rsid w:val="007920DD"/>
    <w:rsid w:val="007E7288"/>
    <w:rsid w:val="008478A0"/>
    <w:rsid w:val="00962D9A"/>
    <w:rsid w:val="00982382"/>
    <w:rsid w:val="009A5A0B"/>
    <w:rsid w:val="00A96DD9"/>
    <w:rsid w:val="00B1052C"/>
    <w:rsid w:val="00B5539F"/>
    <w:rsid w:val="00B66CDA"/>
    <w:rsid w:val="00BB4BD0"/>
    <w:rsid w:val="00BD441F"/>
    <w:rsid w:val="00BE4E2B"/>
    <w:rsid w:val="00BF6796"/>
    <w:rsid w:val="00C00D3F"/>
    <w:rsid w:val="00C656F8"/>
    <w:rsid w:val="00C67A72"/>
    <w:rsid w:val="00CB041A"/>
    <w:rsid w:val="00CC3182"/>
    <w:rsid w:val="00E56306"/>
    <w:rsid w:val="00E70E98"/>
    <w:rsid w:val="00EE1AA6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FE242-4960-4E31-84C2-201E299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9A5A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A5A0B"/>
    <w:pPr>
      <w:widowControl w:val="0"/>
      <w:shd w:val="clear" w:color="auto" w:fill="FFFFFF"/>
      <w:spacing w:before="300" w:after="18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478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5539F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4"/>
      <w:lang w:eastAsia="tr-TR"/>
    </w:rPr>
  </w:style>
  <w:style w:type="character" w:customStyle="1" w:styleId="TitleChar">
    <w:name w:val="Title Char"/>
    <w:basedOn w:val="DefaultParagraphFont"/>
    <w:link w:val="Title"/>
    <w:rsid w:val="00B5539F"/>
    <w:rPr>
      <w:rFonts w:ascii="Times New Roman" w:eastAsia="Calibri" w:hAnsi="Times New Roman" w:cs="Times New Roman"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pembe unan</dc:creator>
  <cp:lastModifiedBy>MÜRŞİDE CELALOĞLU</cp:lastModifiedBy>
  <cp:revision>2</cp:revision>
  <cp:lastPrinted>2019-02-21T10:35:00Z</cp:lastPrinted>
  <dcterms:created xsi:type="dcterms:W3CDTF">2019-04-02T12:46:00Z</dcterms:created>
  <dcterms:modified xsi:type="dcterms:W3CDTF">2019-04-02T12:46:00Z</dcterms:modified>
</cp:coreProperties>
</file>